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5068" w14:textId="09D7F731" w:rsidR="006170B5" w:rsidRPr="006170B5" w:rsidRDefault="006170B5" w:rsidP="006170B5">
      <w:pPr>
        <w:jc w:val="right"/>
        <w:rPr>
          <w:rFonts w:ascii="Poppins" w:hAnsi="Poppins" w:cs="Poppins"/>
          <w:sz w:val="20"/>
          <w:szCs w:val="20"/>
        </w:rPr>
      </w:pPr>
      <w:r w:rsidRPr="00F837DB">
        <w:rPr>
          <w:rFonts w:ascii="Poppins" w:hAnsi="Poppins" w:cs="Poppins"/>
          <w:sz w:val="20"/>
          <w:szCs w:val="20"/>
        </w:rPr>
        <w:t xml:space="preserve">Warszawa, </w:t>
      </w:r>
      <w:r w:rsidR="00B365DA">
        <w:rPr>
          <w:rFonts w:ascii="Poppins" w:hAnsi="Poppins" w:cs="Poppins"/>
          <w:sz w:val="20"/>
          <w:szCs w:val="20"/>
        </w:rPr>
        <w:t>1</w:t>
      </w:r>
      <w:r w:rsidR="000812FE">
        <w:rPr>
          <w:rFonts w:ascii="Poppins" w:hAnsi="Poppins" w:cs="Poppins"/>
          <w:sz w:val="20"/>
          <w:szCs w:val="20"/>
        </w:rPr>
        <w:t>4</w:t>
      </w:r>
      <w:r w:rsidRPr="00F837DB">
        <w:rPr>
          <w:rFonts w:ascii="Poppins" w:hAnsi="Poppins" w:cs="Poppins"/>
          <w:sz w:val="20"/>
          <w:szCs w:val="20"/>
        </w:rPr>
        <w:t>.</w:t>
      </w:r>
      <w:r w:rsidR="001B0B84">
        <w:rPr>
          <w:rFonts w:ascii="Poppins" w:hAnsi="Poppins" w:cs="Poppins"/>
          <w:sz w:val="20"/>
          <w:szCs w:val="20"/>
        </w:rPr>
        <w:t>10</w:t>
      </w:r>
      <w:r w:rsidRPr="00F837DB">
        <w:rPr>
          <w:rFonts w:ascii="Poppins" w:hAnsi="Poppins" w:cs="Poppins"/>
          <w:sz w:val="20"/>
          <w:szCs w:val="20"/>
        </w:rPr>
        <w:t>.202</w:t>
      </w:r>
      <w:r w:rsidR="009D145A">
        <w:rPr>
          <w:rFonts w:ascii="Poppins" w:hAnsi="Poppins" w:cs="Poppins"/>
          <w:sz w:val="20"/>
          <w:szCs w:val="20"/>
        </w:rPr>
        <w:t>4</w:t>
      </w:r>
      <w:r w:rsidRPr="00F837DB">
        <w:rPr>
          <w:rFonts w:ascii="Poppins" w:hAnsi="Poppins" w:cs="Poppins"/>
          <w:sz w:val="20"/>
          <w:szCs w:val="20"/>
        </w:rPr>
        <w:t xml:space="preserve"> r.</w:t>
      </w:r>
    </w:p>
    <w:p w14:paraId="72BEDC40" w14:textId="6D5AE153" w:rsidR="000812FE" w:rsidRPr="000812FE" w:rsidRDefault="00293F01" w:rsidP="000812FE">
      <w:pPr>
        <w:rPr>
          <w:rFonts w:ascii="Poppins" w:hAnsi="Poppins" w:cs="Poppins"/>
          <w:sz w:val="24"/>
          <w:szCs w:val="24"/>
        </w:rPr>
      </w:pPr>
      <w:r w:rsidRPr="00293F01">
        <w:rPr>
          <w:rFonts w:ascii="Poppins" w:hAnsi="Poppins" w:cs="Poppins"/>
          <w:sz w:val="24"/>
          <w:szCs w:val="24"/>
        </w:rPr>
        <w:t xml:space="preserve">Autor: </w:t>
      </w:r>
      <w:r w:rsidR="00F837DB">
        <w:rPr>
          <w:rFonts w:ascii="Poppins" w:hAnsi="Poppins" w:cs="Poppins"/>
          <w:sz w:val="24"/>
          <w:szCs w:val="24"/>
        </w:rPr>
        <w:t xml:space="preserve">Andrzej Prajsnar, ekspert portalu </w:t>
      </w:r>
      <w:hyperlink r:id="rId8" w:history="1">
        <w:r w:rsidR="00F837DB" w:rsidRPr="00B365DA">
          <w:rPr>
            <w:rStyle w:val="Hipercze"/>
            <w:rFonts w:ascii="Poppins" w:hAnsi="Poppins" w:cs="Poppins"/>
            <w:sz w:val="24"/>
            <w:szCs w:val="24"/>
          </w:rPr>
          <w:t>RynekPierwotny.pl</w:t>
        </w:r>
      </w:hyperlink>
    </w:p>
    <w:p w14:paraId="1F146662" w14:textId="77777777" w:rsidR="000812FE" w:rsidRPr="00DC75B4" w:rsidRDefault="000812FE" w:rsidP="000812FE">
      <w:pPr>
        <w:spacing w:after="0"/>
        <w:jc w:val="center"/>
        <w:rPr>
          <w:rFonts w:ascii="Poppins" w:hAnsi="Poppins" w:cs="Poppins"/>
          <w:b/>
          <w:bCs/>
          <w:sz w:val="32"/>
          <w:szCs w:val="32"/>
        </w:rPr>
      </w:pPr>
      <w:r w:rsidRPr="00DC75B4">
        <w:rPr>
          <w:rFonts w:ascii="Poppins" w:hAnsi="Poppins" w:cs="Poppins"/>
          <w:b/>
          <w:bCs/>
          <w:sz w:val="32"/>
          <w:szCs w:val="32"/>
        </w:rPr>
        <w:t xml:space="preserve">Deweloperskie apartamenty: gdzie jest ich </w:t>
      </w:r>
      <w:r>
        <w:rPr>
          <w:rFonts w:ascii="Poppins" w:hAnsi="Poppins" w:cs="Poppins"/>
          <w:b/>
          <w:bCs/>
          <w:sz w:val="32"/>
          <w:szCs w:val="32"/>
        </w:rPr>
        <w:t>więcej</w:t>
      </w:r>
      <w:r w:rsidRPr="00DC75B4">
        <w:rPr>
          <w:rFonts w:ascii="Poppins" w:hAnsi="Poppins" w:cs="Poppins"/>
          <w:b/>
          <w:bCs/>
          <w:sz w:val="32"/>
          <w:szCs w:val="32"/>
        </w:rPr>
        <w:t>?</w:t>
      </w:r>
    </w:p>
    <w:p w14:paraId="6CA87D10" w14:textId="77777777" w:rsidR="000812FE" w:rsidRDefault="000812FE" w:rsidP="000812FE">
      <w:pPr>
        <w:spacing w:after="0"/>
        <w:jc w:val="both"/>
        <w:rPr>
          <w:rFonts w:ascii="Poppins" w:hAnsi="Poppins" w:cs="Poppins"/>
          <w:b/>
          <w:bCs/>
          <w:sz w:val="21"/>
          <w:szCs w:val="21"/>
        </w:rPr>
      </w:pPr>
    </w:p>
    <w:p w14:paraId="16D2C940" w14:textId="77777777" w:rsidR="000812FE" w:rsidRDefault="000812FE" w:rsidP="000812FE">
      <w:pPr>
        <w:spacing w:after="0"/>
        <w:jc w:val="both"/>
        <w:rPr>
          <w:rFonts w:ascii="Poppins" w:hAnsi="Poppins" w:cs="Poppins"/>
          <w:b/>
          <w:bCs/>
          <w:i/>
          <w:iCs/>
          <w:sz w:val="21"/>
          <w:szCs w:val="21"/>
        </w:rPr>
      </w:pPr>
      <w:r>
        <w:rPr>
          <w:rFonts w:ascii="Poppins" w:hAnsi="Poppins" w:cs="Poppins"/>
          <w:b/>
          <w:bCs/>
          <w:i/>
          <w:iCs/>
          <w:sz w:val="21"/>
          <w:szCs w:val="21"/>
        </w:rPr>
        <w:t xml:space="preserve">Nowe mieszkania o powierzchni ponad 100 mkw. to nieduża, ale bardzo ciekawa część rynku. Warto zatem przyjrzeć się jej nieco bliżej. </w:t>
      </w:r>
    </w:p>
    <w:p w14:paraId="2F7F483C" w14:textId="77777777" w:rsidR="000812FE" w:rsidRDefault="000812FE" w:rsidP="000812FE">
      <w:pPr>
        <w:spacing w:after="0"/>
        <w:jc w:val="both"/>
        <w:rPr>
          <w:rFonts w:ascii="Poppins" w:hAnsi="Poppins" w:cs="Poppins"/>
          <w:b/>
          <w:bCs/>
          <w:i/>
          <w:iCs/>
          <w:sz w:val="21"/>
          <w:szCs w:val="21"/>
        </w:rPr>
      </w:pPr>
    </w:p>
    <w:p w14:paraId="4102F12D" w14:textId="5ED3DEFD" w:rsidR="000812FE" w:rsidRPr="002F6644" w:rsidRDefault="000812FE" w:rsidP="000812FE">
      <w:pPr>
        <w:spacing w:after="0"/>
        <w:jc w:val="both"/>
        <w:rPr>
          <w:rFonts w:ascii="Poppins" w:hAnsi="Poppins" w:cs="Poppins"/>
          <w:b/>
          <w:bCs/>
          <w:sz w:val="21"/>
          <w:szCs w:val="21"/>
        </w:rPr>
      </w:pPr>
      <w:r w:rsidRPr="002F6644">
        <w:rPr>
          <w:rFonts w:ascii="Poppins" w:hAnsi="Poppins" w:cs="Poppins"/>
          <w:b/>
          <w:bCs/>
          <w:sz w:val="21"/>
          <w:szCs w:val="21"/>
        </w:rPr>
        <w:t xml:space="preserve">Klienci firm deweloperskich najczęściej szukają mieszkań o powierzchni 40 mkw. - 60 mkw. </w:t>
      </w:r>
      <w:r>
        <w:rPr>
          <w:rFonts w:ascii="Poppins" w:hAnsi="Poppins" w:cs="Poppins"/>
          <w:b/>
          <w:bCs/>
          <w:sz w:val="21"/>
          <w:szCs w:val="21"/>
        </w:rPr>
        <w:t>Wspomniana</w:t>
      </w:r>
      <w:r w:rsidRPr="002F6644">
        <w:rPr>
          <w:rFonts w:ascii="Poppins" w:hAnsi="Poppins" w:cs="Poppins"/>
          <w:b/>
          <w:bCs/>
          <w:sz w:val="21"/>
          <w:szCs w:val="21"/>
        </w:rPr>
        <w:t xml:space="preserve"> sytuacja nie zmienia się już od lat. Te mieszkania, które ze względu na metraż (powyżej 100 mkw.) faktycznie można nazwać apartamentami</w:t>
      </w:r>
      <w:r>
        <w:rPr>
          <w:rFonts w:ascii="Poppins" w:hAnsi="Poppins" w:cs="Poppins"/>
          <w:b/>
          <w:bCs/>
          <w:sz w:val="21"/>
          <w:szCs w:val="21"/>
        </w:rPr>
        <w:t>,</w:t>
      </w:r>
      <w:r w:rsidRPr="002F6644">
        <w:rPr>
          <w:rFonts w:ascii="Poppins" w:hAnsi="Poppins" w:cs="Poppins"/>
          <w:b/>
          <w:bCs/>
          <w:sz w:val="21"/>
          <w:szCs w:val="21"/>
        </w:rPr>
        <w:t xml:space="preserve"> stanowią niewielką cz</w:t>
      </w:r>
      <w:r>
        <w:rPr>
          <w:rFonts w:ascii="Poppins" w:hAnsi="Poppins" w:cs="Poppins"/>
          <w:b/>
          <w:bCs/>
          <w:sz w:val="21"/>
          <w:szCs w:val="21"/>
        </w:rPr>
        <w:t>ę</w:t>
      </w:r>
      <w:r w:rsidRPr="002F6644">
        <w:rPr>
          <w:rFonts w:ascii="Poppins" w:hAnsi="Poppins" w:cs="Poppins"/>
          <w:b/>
          <w:bCs/>
          <w:sz w:val="21"/>
          <w:szCs w:val="21"/>
        </w:rPr>
        <w:t xml:space="preserve">ść oferty rynkowej </w:t>
      </w:r>
      <w:r>
        <w:rPr>
          <w:rFonts w:ascii="Poppins" w:hAnsi="Poppins" w:cs="Poppins"/>
          <w:b/>
          <w:bCs/>
          <w:sz w:val="21"/>
          <w:szCs w:val="21"/>
        </w:rPr>
        <w:t>deweloperów</w:t>
      </w:r>
      <w:r w:rsidRPr="002F6644">
        <w:rPr>
          <w:rFonts w:ascii="Poppins" w:hAnsi="Poppins" w:cs="Poppins"/>
          <w:b/>
          <w:bCs/>
          <w:sz w:val="21"/>
          <w:szCs w:val="21"/>
        </w:rPr>
        <w:t>. Jest to jednak ciekawy segment rynku pierwotnego</w:t>
      </w:r>
      <w:r>
        <w:rPr>
          <w:rFonts w:ascii="Poppins" w:hAnsi="Poppins" w:cs="Poppins"/>
          <w:b/>
          <w:bCs/>
          <w:sz w:val="21"/>
          <w:szCs w:val="21"/>
        </w:rPr>
        <w:t xml:space="preserve"> mieszkań</w:t>
      </w:r>
      <w:r w:rsidRPr="002F6644">
        <w:rPr>
          <w:rFonts w:ascii="Poppins" w:hAnsi="Poppins" w:cs="Poppins"/>
          <w:b/>
          <w:bCs/>
          <w:sz w:val="21"/>
          <w:szCs w:val="21"/>
        </w:rPr>
        <w:t xml:space="preserve">. Eksperci portalu </w:t>
      </w:r>
      <w:hyperlink r:id="rId9" w:history="1">
        <w:r w:rsidRPr="00812FA0">
          <w:rPr>
            <w:rStyle w:val="Hipercze"/>
            <w:rFonts w:ascii="Poppins" w:hAnsi="Poppins" w:cs="Poppins"/>
            <w:b/>
            <w:bCs/>
            <w:sz w:val="21"/>
            <w:szCs w:val="21"/>
          </w:rPr>
          <w:t>RynekPierwotny.pl</w:t>
        </w:r>
      </w:hyperlink>
      <w:r w:rsidRPr="002F6644">
        <w:rPr>
          <w:rFonts w:ascii="Poppins" w:hAnsi="Poppins" w:cs="Poppins"/>
          <w:b/>
          <w:bCs/>
          <w:sz w:val="21"/>
          <w:szCs w:val="21"/>
        </w:rPr>
        <w:t xml:space="preserve"> postanowili mu się przyjrzeć odrobinę bliżej. </w:t>
      </w:r>
    </w:p>
    <w:p w14:paraId="630F5F62" w14:textId="77777777" w:rsidR="000812FE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28EB1AD9" w14:textId="3D32DB2F" w:rsidR="000812FE" w:rsidRPr="007B5D26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Na wstępie warto sprawdzić, jaką część całej podaży nowych mieszkań stanowią lokale o powierzchni użytkowej przekraczającej 100 mkw. Udział największych mieszkań w całej ofercie deweloperów według danych BIG DATA RynekPierwotny.pl z września br. wynosił: </w:t>
      </w:r>
    </w:p>
    <w:p w14:paraId="5E71C5F4" w14:textId="77777777" w:rsidR="000812FE" w:rsidRDefault="000812FE" w:rsidP="000812FE">
      <w:pPr>
        <w:spacing w:after="0"/>
        <w:jc w:val="both"/>
        <w:rPr>
          <w:rFonts w:ascii="Poppins" w:hAnsi="Poppins" w:cs="Poppins"/>
          <w:b/>
          <w:bCs/>
          <w:i/>
          <w:iCs/>
          <w:sz w:val="21"/>
          <w:szCs w:val="21"/>
        </w:rPr>
      </w:pPr>
    </w:p>
    <w:p w14:paraId="4DC41AA6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Bydgoszcz - 2,8%</w:t>
      </w:r>
    </w:p>
    <w:p w14:paraId="773F398E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color w:val="388600"/>
          <w:sz w:val="21"/>
          <w:szCs w:val="21"/>
        </w:rPr>
      </w:pPr>
      <w:r w:rsidRPr="00527C2F">
        <w:rPr>
          <w:rFonts w:ascii="Poppins" w:hAnsi="Poppins" w:cs="Poppins"/>
          <w:color w:val="388600"/>
          <w:sz w:val="21"/>
          <w:szCs w:val="21"/>
        </w:rPr>
        <w:t>Katowice - 4,7%</w:t>
      </w:r>
    </w:p>
    <w:p w14:paraId="4F8FE1F7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Kraków - 2,2%</w:t>
      </w:r>
    </w:p>
    <w:p w14:paraId="5DDC916D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color w:val="C00000"/>
          <w:sz w:val="21"/>
          <w:szCs w:val="21"/>
        </w:rPr>
      </w:pPr>
      <w:r w:rsidRPr="00527C2F">
        <w:rPr>
          <w:rFonts w:ascii="Poppins" w:hAnsi="Poppins" w:cs="Poppins"/>
          <w:color w:val="C00000"/>
          <w:sz w:val="21"/>
          <w:szCs w:val="21"/>
        </w:rPr>
        <w:t>Lublin - 0,8%</w:t>
      </w:r>
    </w:p>
    <w:p w14:paraId="71C3F47C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Łódź - 1,3%</w:t>
      </w:r>
    </w:p>
    <w:p w14:paraId="05873CDA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Poznań - 2,9%</w:t>
      </w:r>
    </w:p>
    <w:p w14:paraId="303617CA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Szczecin - 1,2%</w:t>
      </w:r>
    </w:p>
    <w:p w14:paraId="263B7AC0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Trójmiasto - 2,6%</w:t>
      </w:r>
    </w:p>
    <w:p w14:paraId="52E0CD79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Warszawa - 2,8%</w:t>
      </w:r>
    </w:p>
    <w:p w14:paraId="15377DDE" w14:textId="77777777" w:rsidR="000812FE" w:rsidRPr="00527C2F" w:rsidRDefault="000812FE" w:rsidP="000812FE">
      <w:pPr>
        <w:pStyle w:val="Akapitzlist"/>
        <w:numPr>
          <w:ilvl w:val="0"/>
          <w:numId w:val="40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Wrocław - 2,3%</w:t>
      </w:r>
    </w:p>
    <w:p w14:paraId="0CE45823" w14:textId="77777777" w:rsidR="000812FE" w:rsidRDefault="000812FE" w:rsidP="000812FE">
      <w:pPr>
        <w:spacing w:after="0"/>
        <w:jc w:val="both"/>
        <w:rPr>
          <w:rFonts w:ascii="Poppins" w:hAnsi="Poppins" w:cs="Poppins"/>
          <w:b/>
          <w:bCs/>
          <w:sz w:val="21"/>
          <w:szCs w:val="21"/>
        </w:rPr>
      </w:pPr>
    </w:p>
    <w:p w14:paraId="2F15E9D1" w14:textId="77777777" w:rsidR="000812FE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2F6644">
        <w:rPr>
          <w:rFonts w:ascii="Poppins" w:hAnsi="Poppins" w:cs="Poppins"/>
          <w:sz w:val="21"/>
          <w:szCs w:val="21"/>
        </w:rPr>
        <w:t xml:space="preserve">Wynik dotyczący Katowic może wydawać się nieco zaskakujący. Dokładniejsza analiza danych wskazuje, że w Stolicy Górnego Śląska deweloperzy oferują całkiem sporo </w:t>
      </w:r>
      <w:r>
        <w:rPr>
          <w:rFonts w:ascii="Poppins" w:hAnsi="Poppins" w:cs="Poppins"/>
          <w:sz w:val="21"/>
          <w:szCs w:val="21"/>
        </w:rPr>
        <w:t xml:space="preserve">lokali liczących 100 mkw. - 120 mkw. (3,3% całej podaży). Pod względem łącznej liczby dostępnych lokali o powierzchni ponad 100 mkw. przoduje jednak oczywiście Warszawa (prawie 400 ofert deweloperów we wrześniu 2024 r.). </w:t>
      </w:r>
    </w:p>
    <w:p w14:paraId="76B7CC1E" w14:textId="77777777" w:rsidR="000812FE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041E88E6" w14:textId="77777777" w:rsidR="000812FE" w:rsidRPr="002F6644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Ciekawe wydają się również dane o średniej ofertowej cenie 1 mkw. nowych lokali liczących sobie ponad 100 mkw. Taka wrześniowa średnia stawka z ofert deweloperów była następująca: </w:t>
      </w:r>
    </w:p>
    <w:p w14:paraId="2276858C" w14:textId="77777777" w:rsidR="000812FE" w:rsidRDefault="000812FE" w:rsidP="000812FE">
      <w:pPr>
        <w:spacing w:after="0"/>
        <w:jc w:val="both"/>
        <w:rPr>
          <w:rFonts w:ascii="Poppins" w:hAnsi="Poppins" w:cs="Poppins"/>
          <w:b/>
          <w:bCs/>
          <w:sz w:val="21"/>
          <w:szCs w:val="21"/>
        </w:rPr>
      </w:pPr>
    </w:p>
    <w:p w14:paraId="37EE02DC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Bydgoszcz - 12 627 zł</w:t>
      </w:r>
      <w:bookmarkStart w:id="0" w:name="_Hlk179241111"/>
      <w:r>
        <w:rPr>
          <w:rFonts w:ascii="Poppins" w:hAnsi="Poppins" w:cs="Poppins"/>
          <w:sz w:val="21"/>
          <w:szCs w:val="21"/>
        </w:rPr>
        <w:t>/mkw.</w:t>
      </w:r>
      <w:bookmarkEnd w:id="0"/>
    </w:p>
    <w:p w14:paraId="40F071D6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Katowice - 11 633 zł</w:t>
      </w:r>
      <w:r>
        <w:rPr>
          <w:rFonts w:ascii="Poppins" w:hAnsi="Poppins" w:cs="Poppins"/>
          <w:sz w:val="21"/>
          <w:szCs w:val="21"/>
        </w:rPr>
        <w:t>/mkw.</w:t>
      </w:r>
      <w:r w:rsidRPr="00527C2F">
        <w:rPr>
          <w:rFonts w:ascii="Poppins" w:hAnsi="Poppins" w:cs="Poppins"/>
          <w:sz w:val="21"/>
          <w:szCs w:val="21"/>
        </w:rPr>
        <w:t xml:space="preserve"> </w:t>
      </w:r>
    </w:p>
    <w:p w14:paraId="634BF642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Kraków - 15 705 zł</w:t>
      </w:r>
      <w:r>
        <w:rPr>
          <w:rFonts w:ascii="Poppins" w:hAnsi="Poppins" w:cs="Poppins"/>
          <w:sz w:val="21"/>
          <w:szCs w:val="21"/>
        </w:rPr>
        <w:t>/mkw.</w:t>
      </w:r>
      <w:r w:rsidRPr="00527C2F">
        <w:rPr>
          <w:rFonts w:ascii="Poppins" w:hAnsi="Poppins" w:cs="Poppins"/>
          <w:sz w:val="21"/>
          <w:szCs w:val="21"/>
        </w:rPr>
        <w:t xml:space="preserve"> </w:t>
      </w:r>
    </w:p>
    <w:p w14:paraId="743321CF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color w:val="388600"/>
          <w:sz w:val="21"/>
          <w:szCs w:val="21"/>
        </w:rPr>
      </w:pPr>
      <w:r w:rsidRPr="00527C2F">
        <w:rPr>
          <w:rFonts w:ascii="Poppins" w:hAnsi="Poppins" w:cs="Poppins"/>
          <w:color w:val="388600"/>
          <w:sz w:val="21"/>
          <w:szCs w:val="21"/>
        </w:rPr>
        <w:t xml:space="preserve">Lublin </w:t>
      </w:r>
      <w:r w:rsidRPr="00527C2F">
        <w:rPr>
          <w:rFonts w:ascii="Poppins" w:hAnsi="Poppins" w:cs="Poppins"/>
          <w:color w:val="388600"/>
          <w:sz w:val="21"/>
          <w:szCs w:val="21"/>
        </w:rPr>
        <w:tab/>
        <w:t xml:space="preserve">- </w:t>
      </w:r>
      <w:r w:rsidRPr="002D3734">
        <w:rPr>
          <w:rFonts w:ascii="Poppins" w:hAnsi="Poppins" w:cs="Poppins"/>
          <w:color w:val="538135" w:themeColor="accent6" w:themeShade="BF"/>
          <w:sz w:val="21"/>
          <w:szCs w:val="21"/>
        </w:rPr>
        <w:t xml:space="preserve">11 297 zł/mkw. </w:t>
      </w:r>
    </w:p>
    <w:p w14:paraId="68A4E840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Łódź - 12 181 zł</w:t>
      </w:r>
      <w:r>
        <w:rPr>
          <w:rFonts w:ascii="Poppins" w:hAnsi="Poppins" w:cs="Poppins"/>
          <w:sz w:val="21"/>
          <w:szCs w:val="21"/>
        </w:rPr>
        <w:t>/mkw.</w:t>
      </w:r>
      <w:r w:rsidRPr="00527C2F">
        <w:rPr>
          <w:rFonts w:ascii="Poppins" w:hAnsi="Poppins" w:cs="Poppins"/>
          <w:sz w:val="21"/>
          <w:szCs w:val="21"/>
        </w:rPr>
        <w:t xml:space="preserve"> </w:t>
      </w:r>
    </w:p>
    <w:p w14:paraId="196EC861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Poznań - 14 792 zł</w:t>
      </w:r>
      <w:r>
        <w:rPr>
          <w:rFonts w:ascii="Poppins" w:hAnsi="Poppins" w:cs="Poppins"/>
          <w:sz w:val="21"/>
          <w:szCs w:val="21"/>
        </w:rPr>
        <w:t>/mkw.</w:t>
      </w:r>
    </w:p>
    <w:p w14:paraId="4A09DEA5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Szczecin - 13 069 zł</w:t>
      </w:r>
      <w:r>
        <w:rPr>
          <w:rFonts w:ascii="Poppins" w:hAnsi="Poppins" w:cs="Poppins"/>
          <w:sz w:val="21"/>
          <w:szCs w:val="21"/>
        </w:rPr>
        <w:t>/mkw.</w:t>
      </w:r>
      <w:r w:rsidRPr="00527C2F">
        <w:rPr>
          <w:rFonts w:ascii="Poppins" w:hAnsi="Poppins" w:cs="Poppins"/>
          <w:sz w:val="21"/>
          <w:szCs w:val="21"/>
        </w:rPr>
        <w:t xml:space="preserve"> </w:t>
      </w:r>
    </w:p>
    <w:p w14:paraId="77AF3CA0" w14:textId="77777777" w:rsidR="000812FE" w:rsidRPr="00527C2F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Trójmiasto - 17 814 zł</w:t>
      </w:r>
      <w:r>
        <w:rPr>
          <w:rFonts w:ascii="Poppins" w:hAnsi="Poppins" w:cs="Poppins"/>
          <w:sz w:val="21"/>
          <w:szCs w:val="21"/>
        </w:rPr>
        <w:t>/mkw.</w:t>
      </w:r>
    </w:p>
    <w:p w14:paraId="18B5BA6B" w14:textId="77777777" w:rsidR="000812FE" w:rsidRPr="002D3734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color w:val="C00000"/>
          <w:sz w:val="21"/>
          <w:szCs w:val="21"/>
        </w:rPr>
      </w:pPr>
      <w:r w:rsidRPr="002D3734">
        <w:rPr>
          <w:rFonts w:ascii="Poppins" w:hAnsi="Poppins" w:cs="Poppins"/>
          <w:color w:val="C00000"/>
          <w:sz w:val="21"/>
          <w:szCs w:val="21"/>
        </w:rPr>
        <w:t xml:space="preserve">Warszawa - 20 997 zł/mkw. </w:t>
      </w:r>
    </w:p>
    <w:p w14:paraId="0EBD4AC1" w14:textId="77777777" w:rsidR="000812FE" w:rsidRDefault="000812FE" w:rsidP="000812FE">
      <w:pPr>
        <w:pStyle w:val="Akapitzlist"/>
        <w:numPr>
          <w:ilvl w:val="0"/>
          <w:numId w:val="41"/>
        </w:numPr>
        <w:spacing w:after="0"/>
        <w:jc w:val="both"/>
        <w:rPr>
          <w:rFonts w:ascii="Poppins" w:hAnsi="Poppins" w:cs="Poppins"/>
          <w:sz w:val="21"/>
          <w:szCs w:val="21"/>
        </w:rPr>
      </w:pPr>
      <w:r w:rsidRPr="00527C2F">
        <w:rPr>
          <w:rFonts w:ascii="Poppins" w:hAnsi="Poppins" w:cs="Poppins"/>
          <w:sz w:val="21"/>
          <w:szCs w:val="21"/>
        </w:rPr>
        <w:t>Wrocław - 14 072 zł</w:t>
      </w:r>
      <w:r>
        <w:rPr>
          <w:rFonts w:ascii="Poppins" w:hAnsi="Poppins" w:cs="Poppins"/>
          <w:sz w:val="21"/>
          <w:szCs w:val="21"/>
        </w:rPr>
        <w:t>/mkw.</w:t>
      </w:r>
    </w:p>
    <w:p w14:paraId="0EE98437" w14:textId="77777777" w:rsidR="000812FE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2F81EB01" w14:textId="77777777" w:rsidR="000812FE" w:rsidRPr="002F6644" w:rsidRDefault="000812FE" w:rsidP="000812FE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Największą dodatnią różnicę prezentowanych cen 1 mkw. względem średnich stawek z całego rynku widzimy w przypadku Bydgoszczy (+23%), Warszawy (+18%) oraz Trójmiasta (+15%). Ciekawa sytuacja dotyczy Katowic, Krakowa i Wrocławia, gdzie oferta największych lokali była we wrześniu br. wyraźnie tańsza od średniej obliczonej dla całego rynku pierwotnego. </w:t>
      </w:r>
    </w:p>
    <w:p w14:paraId="1D43DC7E" w14:textId="0404E771" w:rsidR="003F49EA" w:rsidRPr="00386914" w:rsidRDefault="003F49EA" w:rsidP="00B365DA">
      <w:pPr>
        <w:spacing w:after="0"/>
        <w:ind w:firstLine="709"/>
        <w:jc w:val="center"/>
        <w:rPr>
          <w:rFonts w:ascii="Poppins" w:hAnsi="Poppins" w:cs="Poppins"/>
          <w:b/>
          <w:bCs/>
          <w:sz w:val="21"/>
          <w:szCs w:val="21"/>
        </w:rPr>
      </w:pPr>
    </w:p>
    <w:sectPr w:rsidR="003F49EA" w:rsidRPr="00386914" w:rsidSect="00B365DA">
      <w:headerReference w:type="default" r:id="rId10"/>
      <w:pgSz w:w="11906" w:h="16838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546B" w14:textId="77777777" w:rsidR="00AA2E69" w:rsidRDefault="00AA2E69" w:rsidP="00E533BD">
      <w:pPr>
        <w:spacing w:after="0" w:line="240" w:lineRule="auto"/>
      </w:pPr>
      <w:r>
        <w:separator/>
      </w:r>
    </w:p>
  </w:endnote>
  <w:endnote w:type="continuationSeparator" w:id="0">
    <w:p w14:paraId="0F18843E" w14:textId="77777777" w:rsidR="00AA2E69" w:rsidRDefault="00AA2E69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30A1" w14:textId="77777777" w:rsidR="00AA2E69" w:rsidRDefault="00AA2E69" w:rsidP="00E533BD">
      <w:pPr>
        <w:spacing w:after="0" w:line="240" w:lineRule="auto"/>
      </w:pPr>
      <w:r>
        <w:separator/>
      </w:r>
    </w:p>
  </w:footnote>
  <w:footnote w:type="continuationSeparator" w:id="0">
    <w:p w14:paraId="676739E8" w14:textId="77777777" w:rsidR="00AA2E69" w:rsidRDefault="00AA2E69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3F6E" w14:textId="71AB1AD8" w:rsidR="00E533BD" w:rsidRDefault="00B0079A" w:rsidP="00D3434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916630F" wp14:editId="172E98DD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372" y="4779"/>
              <wp:lineTo x="1098" y="7169"/>
              <wp:lineTo x="878" y="9559"/>
              <wp:lineTo x="878" y="15533"/>
              <wp:lineTo x="9276" y="18321"/>
              <wp:lineTo x="19211" y="19516"/>
              <wp:lineTo x="20693" y="19516"/>
              <wp:lineTo x="20747" y="18321"/>
              <wp:lineTo x="18717" y="11948"/>
              <wp:lineTo x="18826" y="8364"/>
              <wp:lineTo x="16302" y="7567"/>
              <wp:lineTo x="1976" y="4779"/>
              <wp:lineTo x="1372" y="4779"/>
            </wp:wrapPolygon>
          </wp:wrapThrough>
          <wp:docPr id="8262175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/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347">
      <w:tab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5885"/>
    <w:multiLevelType w:val="hybridMultilevel"/>
    <w:tmpl w:val="718C9F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4476"/>
    <w:multiLevelType w:val="hybridMultilevel"/>
    <w:tmpl w:val="718A5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DD8"/>
    <w:multiLevelType w:val="hybridMultilevel"/>
    <w:tmpl w:val="8A7A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5EB"/>
    <w:multiLevelType w:val="hybridMultilevel"/>
    <w:tmpl w:val="3F446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902"/>
    <w:multiLevelType w:val="hybridMultilevel"/>
    <w:tmpl w:val="4D763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737C"/>
    <w:multiLevelType w:val="hybridMultilevel"/>
    <w:tmpl w:val="450C4B22"/>
    <w:lvl w:ilvl="0" w:tplc="EBC6B7D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0139"/>
    <w:multiLevelType w:val="hybridMultilevel"/>
    <w:tmpl w:val="44526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31A6"/>
    <w:multiLevelType w:val="hybridMultilevel"/>
    <w:tmpl w:val="CC7EB3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00E3"/>
    <w:multiLevelType w:val="hybridMultilevel"/>
    <w:tmpl w:val="4CFA6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23BEF"/>
    <w:multiLevelType w:val="hybridMultilevel"/>
    <w:tmpl w:val="E41EE4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11A33"/>
    <w:multiLevelType w:val="hybridMultilevel"/>
    <w:tmpl w:val="93AC9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753F1"/>
    <w:multiLevelType w:val="hybridMultilevel"/>
    <w:tmpl w:val="258A95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4AFA"/>
    <w:multiLevelType w:val="hybridMultilevel"/>
    <w:tmpl w:val="216231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1E93"/>
    <w:multiLevelType w:val="hybridMultilevel"/>
    <w:tmpl w:val="3490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309D"/>
    <w:multiLevelType w:val="hybridMultilevel"/>
    <w:tmpl w:val="83804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499F"/>
    <w:multiLevelType w:val="hybridMultilevel"/>
    <w:tmpl w:val="4E6CE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429"/>
    <w:multiLevelType w:val="hybridMultilevel"/>
    <w:tmpl w:val="36F47A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9497F"/>
    <w:multiLevelType w:val="hybridMultilevel"/>
    <w:tmpl w:val="ADC04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94C9B"/>
    <w:multiLevelType w:val="hybridMultilevel"/>
    <w:tmpl w:val="4DBCB2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311B4"/>
    <w:multiLevelType w:val="hybridMultilevel"/>
    <w:tmpl w:val="92B0C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B1A7F"/>
    <w:multiLevelType w:val="hybridMultilevel"/>
    <w:tmpl w:val="8670D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301A"/>
    <w:multiLevelType w:val="hybridMultilevel"/>
    <w:tmpl w:val="2548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837CC"/>
    <w:multiLevelType w:val="hybridMultilevel"/>
    <w:tmpl w:val="92066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52A42"/>
    <w:multiLevelType w:val="hybridMultilevel"/>
    <w:tmpl w:val="B91C1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80DE5"/>
    <w:multiLevelType w:val="hybridMultilevel"/>
    <w:tmpl w:val="57E0B91E"/>
    <w:lvl w:ilvl="0" w:tplc="D0D28734">
      <w:numFmt w:val="bullet"/>
      <w:lvlText w:val=""/>
      <w:lvlJc w:val="left"/>
      <w:pPr>
        <w:ind w:left="720" w:hanging="360"/>
      </w:pPr>
      <w:rPr>
        <w:rFonts w:ascii="Symbol" w:eastAsia="Calibr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71FB0"/>
    <w:multiLevelType w:val="hybridMultilevel"/>
    <w:tmpl w:val="9D788B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66F1B"/>
    <w:multiLevelType w:val="hybridMultilevel"/>
    <w:tmpl w:val="4F526C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60381"/>
    <w:multiLevelType w:val="hybridMultilevel"/>
    <w:tmpl w:val="21343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8165D"/>
    <w:multiLevelType w:val="hybridMultilevel"/>
    <w:tmpl w:val="AA20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5494D"/>
    <w:multiLevelType w:val="hybridMultilevel"/>
    <w:tmpl w:val="C04E20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261F9"/>
    <w:multiLevelType w:val="hybridMultilevel"/>
    <w:tmpl w:val="D382B9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200E2"/>
    <w:multiLevelType w:val="hybridMultilevel"/>
    <w:tmpl w:val="158E3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B7A75"/>
    <w:multiLevelType w:val="hybridMultilevel"/>
    <w:tmpl w:val="5E02D488"/>
    <w:lvl w:ilvl="0" w:tplc="03B0E0EE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5D"/>
    <w:multiLevelType w:val="hybridMultilevel"/>
    <w:tmpl w:val="69F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C24AF"/>
    <w:multiLevelType w:val="hybridMultilevel"/>
    <w:tmpl w:val="2C7E4C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05AA0"/>
    <w:multiLevelType w:val="hybridMultilevel"/>
    <w:tmpl w:val="E8D85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403AD"/>
    <w:multiLevelType w:val="hybridMultilevel"/>
    <w:tmpl w:val="6C022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036C0"/>
    <w:multiLevelType w:val="hybridMultilevel"/>
    <w:tmpl w:val="6256D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3690"/>
    <w:multiLevelType w:val="hybridMultilevel"/>
    <w:tmpl w:val="DAD6E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81AF6"/>
    <w:multiLevelType w:val="hybridMultilevel"/>
    <w:tmpl w:val="0A780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C4319"/>
    <w:multiLevelType w:val="hybridMultilevel"/>
    <w:tmpl w:val="9E7C7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48587">
    <w:abstractNumId w:val="21"/>
  </w:num>
  <w:num w:numId="2" w16cid:durableId="1099641624">
    <w:abstractNumId w:val="34"/>
  </w:num>
  <w:num w:numId="3" w16cid:durableId="1635334667">
    <w:abstractNumId w:val="8"/>
  </w:num>
  <w:num w:numId="4" w16cid:durableId="175852901">
    <w:abstractNumId w:val="18"/>
  </w:num>
  <w:num w:numId="5" w16cid:durableId="1641617217">
    <w:abstractNumId w:val="2"/>
  </w:num>
  <w:num w:numId="6" w16cid:durableId="1512447698">
    <w:abstractNumId w:val="11"/>
  </w:num>
  <w:num w:numId="7" w16cid:durableId="399136065">
    <w:abstractNumId w:val="12"/>
  </w:num>
  <w:num w:numId="8" w16cid:durableId="1734893063">
    <w:abstractNumId w:val="16"/>
  </w:num>
  <w:num w:numId="9" w16cid:durableId="1851675684">
    <w:abstractNumId w:val="26"/>
  </w:num>
  <w:num w:numId="10" w16cid:durableId="1751535380">
    <w:abstractNumId w:val="27"/>
  </w:num>
  <w:num w:numId="11" w16cid:durableId="62878001">
    <w:abstractNumId w:val="7"/>
  </w:num>
  <w:num w:numId="12" w16cid:durableId="827942273">
    <w:abstractNumId w:val="38"/>
  </w:num>
  <w:num w:numId="13" w16cid:durableId="1608268273">
    <w:abstractNumId w:val="6"/>
  </w:num>
  <w:num w:numId="14" w16cid:durableId="290481014">
    <w:abstractNumId w:val="31"/>
  </w:num>
  <w:num w:numId="15" w16cid:durableId="2101557793">
    <w:abstractNumId w:val="28"/>
  </w:num>
  <w:num w:numId="16" w16cid:durableId="903221013">
    <w:abstractNumId w:val="4"/>
  </w:num>
  <w:num w:numId="17" w16cid:durableId="1482504381">
    <w:abstractNumId w:val="1"/>
  </w:num>
  <w:num w:numId="18" w16cid:durableId="1726638441">
    <w:abstractNumId w:val="23"/>
  </w:num>
  <w:num w:numId="19" w16cid:durableId="1076631067">
    <w:abstractNumId w:val="10"/>
  </w:num>
  <w:num w:numId="20" w16cid:durableId="788624108">
    <w:abstractNumId w:val="20"/>
  </w:num>
  <w:num w:numId="21" w16cid:durableId="526875884">
    <w:abstractNumId w:val="5"/>
  </w:num>
  <w:num w:numId="22" w16cid:durableId="712771138">
    <w:abstractNumId w:val="32"/>
  </w:num>
  <w:num w:numId="23" w16cid:durableId="1238439587">
    <w:abstractNumId w:val="37"/>
  </w:num>
  <w:num w:numId="24" w16cid:durableId="428814920">
    <w:abstractNumId w:val="40"/>
  </w:num>
  <w:num w:numId="25" w16cid:durableId="824318969">
    <w:abstractNumId w:val="13"/>
  </w:num>
  <w:num w:numId="26" w16cid:durableId="1450124016">
    <w:abstractNumId w:val="3"/>
  </w:num>
  <w:num w:numId="27" w16cid:durableId="355348411">
    <w:abstractNumId w:val="19"/>
  </w:num>
  <w:num w:numId="28" w16cid:durableId="1456099236">
    <w:abstractNumId w:val="39"/>
  </w:num>
  <w:num w:numId="29" w16cid:durableId="2059889213">
    <w:abstractNumId w:val="36"/>
  </w:num>
  <w:num w:numId="30" w16cid:durableId="1962809188">
    <w:abstractNumId w:val="9"/>
  </w:num>
  <w:num w:numId="31" w16cid:durableId="1876504400">
    <w:abstractNumId w:val="22"/>
  </w:num>
  <w:num w:numId="32" w16cid:durableId="1414357434">
    <w:abstractNumId w:val="25"/>
  </w:num>
  <w:num w:numId="33" w16cid:durableId="618030578">
    <w:abstractNumId w:val="14"/>
  </w:num>
  <w:num w:numId="34" w16cid:durableId="2075157830">
    <w:abstractNumId w:val="30"/>
  </w:num>
  <w:num w:numId="35" w16cid:durableId="1019621394">
    <w:abstractNumId w:val="24"/>
  </w:num>
  <w:num w:numId="36" w16cid:durableId="455875664">
    <w:abstractNumId w:val="35"/>
  </w:num>
  <w:num w:numId="37" w16cid:durableId="1879974268">
    <w:abstractNumId w:val="17"/>
  </w:num>
  <w:num w:numId="38" w16cid:durableId="1141726336">
    <w:abstractNumId w:val="29"/>
  </w:num>
  <w:num w:numId="39" w16cid:durableId="198737800">
    <w:abstractNumId w:val="33"/>
  </w:num>
  <w:num w:numId="40" w16cid:durableId="577642355">
    <w:abstractNumId w:val="15"/>
  </w:num>
  <w:num w:numId="41" w16cid:durableId="187631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09A4"/>
    <w:rsid w:val="00001618"/>
    <w:rsid w:val="000061D9"/>
    <w:rsid w:val="00006E13"/>
    <w:rsid w:val="00007D04"/>
    <w:rsid w:val="00011168"/>
    <w:rsid w:val="000163FF"/>
    <w:rsid w:val="000204D9"/>
    <w:rsid w:val="00021BAF"/>
    <w:rsid w:val="0002392F"/>
    <w:rsid w:val="00025631"/>
    <w:rsid w:val="0002568A"/>
    <w:rsid w:val="000359DE"/>
    <w:rsid w:val="00040561"/>
    <w:rsid w:val="00041588"/>
    <w:rsid w:val="0004178E"/>
    <w:rsid w:val="00042693"/>
    <w:rsid w:val="000428DF"/>
    <w:rsid w:val="00043EF5"/>
    <w:rsid w:val="0004533B"/>
    <w:rsid w:val="00047D9E"/>
    <w:rsid w:val="00051B64"/>
    <w:rsid w:val="00051D29"/>
    <w:rsid w:val="000522FB"/>
    <w:rsid w:val="0005728A"/>
    <w:rsid w:val="00060A36"/>
    <w:rsid w:val="000617CE"/>
    <w:rsid w:val="000666A3"/>
    <w:rsid w:val="00070DDC"/>
    <w:rsid w:val="00072ABD"/>
    <w:rsid w:val="000774A5"/>
    <w:rsid w:val="000812FE"/>
    <w:rsid w:val="000826CD"/>
    <w:rsid w:val="00083879"/>
    <w:rsid w:val="00084851"/>
    <w:rsid w:val="000855AF"/>
    <w:rsid w:val="00086A97"/>
    <w:rsid w:val="00090FB3"/>
    <w:rsid w:val="00091576"/>
    <w:rsid w:val="000926AA"/>
    <w:rsid w:val="00095F6E"/>
    <w:rsid w:val="000977DC"/>
    <w:rsid w:val="000A10E3"/>
    <w:rsid w:val="000A6F70"/>
    <w:rsid w:val="000B39AA"/>
    <w:rsid w:val="000B4007"/>
    <w:rsid w:val="000B6245"/>
    <w:rsid w:val="000B6673"/>
    <w:rsid w:val="000B7B10"/>
    <w:rsid w:val="000C7259"/>
    <w:rsid w:val="000D3C95"/>
    <w:rsid w:val="000D488C"/>
    <w:rsid w:val="000D5BF1"/>
    <w:rsid w:val="000D6664"/>
    <w:rsid w:val="000D7595"/>
    <w:rsid w:val="000D76F3"/>
    <w:rsid w:val="000E2E07"/>
    <w:rsid w:val="000E302C"/>
    <w:rsid w:val="000E317C"/>
    <w:rsid w:val="000F03F2"/>
    <w:rsid w:val="000F7803"/>
    <w:rsid w:val="001004FE"/>
    <w:rsid w:val="00103880"/>
    <w:rsid w:val="00103C8B"/>
    <w:rsid w:val="00105F19"/>
    <w:rsid w:val="00110459"/>
    <w:rsid w:val="00122E64"/>
    <w:rsid w:val="00126BD3"/>
    <w:rsid w:val="001355A7"/>
    <w:rsid w:val="00145FC4"/>
    <w:rsid w:val="0014675E"/>
    <w:rsid w:val="00146F27"/>
    <w:rsid w:val="00152036"/>
    <w:rsid w:val="00160B41"/>
    <w:rsid w:val="0016166F"/>
    <w:rsid w:val="00161D11"/>
    <w:rsid w:val="00175BC0"/>
    <w:rsid w:val="00176DE5"/>
    <w:rsid w:val="00180BBD"/>
    <w:rsid w:val="0018214C"/>
    <w:rsid w:val="00182A25"/>
    <w:rsid w:val="0018306C"/>
    <w:rsid w:val="0018314D"/>
    <w:rsid w:val="00186EB8"/>
    <w:rsid w:val="00187755"/>
    <w:rsid w:val="00190058"/>
    <w:rsid w:val="00193DF5"/>
    <w:rsid w:val="00195B46"/>
    <w:rsid w:val="001974E5"/>
    <w:rsid w:val="001A029D"/>
    <w:rsid w:val="001A2355"/>
    <w:rsid w:val="001A247E"/>
    <w:rsid w:val="001A59C1"/>
    <w:rsid w:val="001B0B84"/>
    <w:rsid w:val="001C414C"/>
    <w:rsid w:val="001C7443"/>
    <w:rsid w:val="001D1C9C"/>
    <w:rsid w:val="001D20F4"/>
    <w:rsid w:val="001D4C63"/>
    <w:rsid w:val="001D506D"/>
    <w:rsid w:val="001D7DE8"/>
    <w:rsid w:val="001E0D1B"/>
    <w:rsid w:val="001E155C"/>
    <w:rsid w:val="001E1C44"/>
    <w:rsid w:val="001E2287"/>
    <w:rsid w:val="001E74D5"/>
    <w:rsid w:val="001E77E6"/>
    <w:rsid w:val="001F2483"/>
    <w:rsid w:val="001F366B"/>
    <w:rsid w:val="001F40C1"/>
    <w:rsid w:val="001F73A4"/>
    <w:rsid w:val="00212A04"/>
    <w:rsid w:val="00223BFF"/>
    <w:rsid w:val="00226144"/>
    <w:rsid w:val="00226FFA"/>
    <w:rsid w:val="0023249E"/>
    <w:rsid w:val="002375D7"/>
    <w:rsid w:val="002375DA"/>
    <w:rsid w:val="002406AA"/>
    <w:rsid w:val="00240AE3"/>
    <w:rsid w:val="0024129B"/>
    <w:rsid w:val="00244567"/>
    <w:rsid w:val="00244B60"/>
    <w:rsid w:val="002454AA"/>
    <w:rsid w:val="002507E4"/>
    <w:rsid w:val="00250BFC"/>
    <w:rsid w:val="002559B9"/>
    <w:rsid w:val="00256053"/>
    <w:rsid w:val="00260D53"/>
    <w:rsid w:val="00260DB8"/>
    <w:rsid w:val="002623D9"/>
    <w:rsid w:val="002635E7"/>
    <w:rsid w:val="00263A8B"/>
    <w:rsid w:val="00264596"/>
    <w:rsid w:val="00265E93"/>
    <w:rsid w:val="0027083D"/>
    <w:rsid w:val="00273A7C"/>
    <w:rsid w:val="002761C0"/>
    <w:rsid w:val="00282D27"/>
    <w:rsid w:val="00285FE7"/>
    <w:rsid w:val="00287DD8"/>
    <w:rsid w:val="002901FD"/>
    <w:rsid w:val="00291B76"/>
    <w:rsid w:val="00292FF4"/>
    <w:rsid w:val="00293F01"/>
    <w:rsid w:val="00294774"/>
    <w:rsid w:val="0029581B"/>
    <w:rsid w:val="002A0AAE"/>
    <w:rsid w:val="002A171D"/>
    <w:rsid w:val="002A1958"/>
    <w:rsid w:val="002A2F54"/>
    <w:rsid w:val="002B5AF3"/>
    <w:rsid w:val="002B5BE4"/>
    <w:rsid w:val="002B7529"/>
    <w:rsid w:val="002C284C"/>
    <w:rsid w:val="002C3A0A"/>
    <w:rsid w:val="002C57FB"/>
    <w:rsid w:val="002C6791"/>
    <w:rsid w:val="002D1805"/>
    <w:rsid w:val="002D408C"/>
    <w:rsid w:val="002D46C0"/>
    <w:rsid w:val="002D4FC3"/>
    <w:rsid w:val="002D6EF3"/>
    <w:rsid w:val="002D7024"/>
    <w:rsid w:val="002E442A"/>
    <w:rsid w:val="002E6753"/>
    <w:rsid w:val="002F137D"/>
    <w:rsid w:val="002F155F"/>
    <w:rsid w:val="002F4185"/>
    <w:rsid w:val="002F4C51"/>
    <w:rsid w:val="002F7D78"/>
    <w:rsid w:val="0030360E"/>
    <w:rsid w:val="00303E7B"/>
    <w:rsid w:val="00306D88"/>
    <w:rsid w:val="0031094F"/>
    <w:rsid w:val="003145E7"/>
    <w:rsid w:val="003167C9"/>
    <w:rsid w:val="00322366"/>
    <w:rsid w:val="00322A58"/>
    <w:rsid w:val="003250B8"/>
    <w:rsid w:val="003266F7"/>
    <w:rsid w:val="00327650"/>
    <w:rsid w:val="0033103D"/>
    <w:rsid w:val="003323A1"/>
    <w:rsid w:val="003335EB"/>
    <w:rsid w:val="00335E9C"/>
    <w:rsid w:val="00341E67"/>
    <w:rsid w:val="0034254A"/>
    <w:rsid w:val="00345399"/>
    <w:rsid w:val="00352676"/>
    <w:rsid w:val="00354557"/>
    <w:rsid w:val="00361E08"/>
    <w:rsid w:val="003650A2"/>
    <w:rsid w:val="00372E22"/>
    <w:rsid w:val="00374009"/>
    <w:rsid w:val="00377A0E"/>
    <w:rsid w:val="0038065C"/>
    <w:rsid w:val="0038212F"/>
    <w:rsid w:val="00386265"/>
    <w:rsid w:val="00386914"/>
    <w:rsid w:val="00392777"/>
    <w:rsid w:val="00394EC0"/>
    <w:rsid w:val="003967C8"/>
    <w:rsid w:val="003A182E"/>
    <w:rsid w:val="003A20A1"/>
    <w:rsid w:val="003A2EAF"/>
    <w:rsid w:val="003A6307"/>
    <w:rsid w:val="003B7955"/>
    <w:rsid w:val="003C08C5"/>
    <w:rsid w:val="003C345D"/>
    <w:rsid w:val="003C4906"/>
    <w:rsid w:val="003C5267"/>
    <w:rsid w:val="003D4EF3"/>
    <w:rsid w:val="003D6431"/>
    <w:rsid w:val="003E0C29"/>
    <w:rsid w:val="003E34CD"/>
    <w:rsid w:val="003F07C7"/>
    <w:rsid w:val="003F0DD3"/>
    <w:rsid w:val="003F411D"/>
    <w:rsid w:val="003F49EA"/>
    <w:rsid w:val="004021C9"/>
    <w:rsid w:val="004068E1"/>
    <w:rsid w:val="004110CA"/>
    <w:rsid w:val="0041279C"/>
    <w:rsid w:val="00417402"/>
    <w:rsid w:val="004229AA"/>
    <w:rsid w:val="00425F76"/>
    <w:rsid w:val="0042649D"/>
    <w:rsid w:val="00426A7C"/>
    <w:rsid w:val="004305BC"/>
    <w:rsid w:val="004324CF"/>
    <w:rsid w:val="004328E9"/>
    <w:rsid w:val="00433ED2"/>
    <w:rsid w:val="00436150"/>
    <w:rsid w:val="004405C8"/>
    <w:rsid w:val="00442060"/>
    <w:rsid w:val="004460C6"/>
    <w:rsid w:val="00450FF3"/>
    <w:rsid w:val="00453CD2"/>
    <w:rsid w:val="004561A4"/>
    <w:rsid w:val="0046049C"/>
    <w:rsid w:val="00461490"/>
    <w:rsid w:val="00466F50"/>
    <w:rsid w:val="00470D3D"/>
    <w:rsid w:val="00470DCC"/>
    <w:rsid w:val="00471709"/>
    <w:rsid w:val="00472206"/>
    <w:rsid w:val="00475B42"/>
    <w:rsid w:val="00477BCF"/>
    <w:rsid w:val="00480DF1"/>
    <w:rsid w:val="00485DC9"/>
    <w:rsid w:val="00492B9E"/>
    <w:rsid w:val="004937AE"/>
    <w:rsid w:val="00493F23"/>
    <w:rsid w:val="004A4A72"/>
    <w:rsid w:val="004A701A"/>
    <w:rsid w:val="004A7216"/>
    <w:rsid w:val="004A752B"/>
    <w:rsid w:val="004A7B6F"/>
    <w:rsid w:val="004B34B5"/>
    <w:rsid w:val="004C0210"/>
    <w:rsid w:val="004C4519"/>
    <w:rsid w:val="004C667B"/>
    <w:rsid w:val="004D5019"/>
    <w:rsid w:val="004E2902"/>
    <w:rsid w:val="004F17C8"/>
    <w:rsid w:val="004F1A4E"/>
    <w:rsid w:val="004F4A75"/>
    <w:rsid w:val="004F51F8"/>
    <w:rsid w:val="00505476"/>
    <w:rsid w:val="00507867"/>
    <w:rsid w:val="0051751B"/>
    <w:rsid w:val="0052007B"/>
    <w:rsid w:val="00520572"/>
    <w:rsid w:val="005239C1"/>
    <w:rsid w:val="0052512B"/>
    <w:rsid w:val="0052518E"/>
    <w:rsid w:val="005306F2"/>
    <w:rsid w:val="00543C19"/>
    <w:rsid w:val="00547D34"/>
    <w:rsid w:val="00550847"/>
    <w:rsid w:val="0055176B"/>
    <w:rsid w:val="00551F17"/>
    <w:rsid w:val="00554EE4"/>
    <w:rsid w:val="00565B3F"/>
    <w:rsid w:val="00573C33"/>
    <w:rsid w:val="005756AC"/>
    <w:rsid w:val="00575DDB"/>
    <w:rsid w:val="00576D9C"/>
    <w:rsid w:val="00586C1D"/>
    <w:rsid w:val="00592F34"/>
    <w:rsid w:val="00593AF3"/>
    <w:rsid w:val="00596309"/>
    <w:rsid w:val="0059753B"/>
    <w:rsid w:val="00597561"/>
    <w:rsid w:val="005A0181"/>
    <w:rsid w:val="005A01C1"/>
    <w:rsid w:val="005A2F32"/>
    <w:rsid w:val="005A78BD"/>
    <w:rsid w:val="005B2FE6"/>
    <w:rsid w:val="005B59E8"/>
    <w:rsid w:val="005B6CBB"/>
    <w:rsid w:val="005C0220"/>
    <w:rsid w:val="005C34D6"/>
    <w:rsid w:val="005C7EE5"/>
    <w:rsid w:val="005D02BB"/>
    <w:rsid w:val="005D65CD"/>
    <w:rsid w:val="005D68DD"/>
    <w:rsid w:val="005D774B"/>
    <w:rsid w:val="005E063B"/>
    <w:rsid w:val="005E096A"/>
    <w:rsid w:val="005E154B"/>
    <w:rsid w:val="005E2091"/>
    <w:rsid w:val="005E6243"/>
    <w:rsid w:val="005F051F"/>
    <w:rsid w:val="005F79A8"/>
    <w:rsid w:val="00601BAC"/>
    <w:rsid w:val="00602229"/>
    <w:rsid w:val="00603AB3"/>
    <w:rsid w:val="0060664F"/>
    <w:rsid w:val="00607A0A"/>
    <w:rsid w:val="006170B5"/>
    <w:rsid w:val="0062179F"/>
    <w:rsid w:val="00622805"/>
    <w:rsid w:val="00623C97"/>
    <w:rsid w:val="00625152"/>
    <w:rsid w:val="006313BE"/>
    <w:rsid w:val="0063326E"/>
    <w:rsid w:val="0063375E"/>
    <w:rsid w:val="00633F4E"/>
    <w:rsid w:val="00640FFF"/>
    <w:rsid w:val="0064366C"/>
    <w:rsid w:val="00644AE4"/>
    <w:rsid w:val="0065080A"/>
    <w:rsid w:val="00654F79"/>
    <w:rsid w:val="00656750"/>
    <w:rsid w:val="00656F60"/>
    <w:rsid w:val="0066030D"/>
    <w:rsid w:val="0066227F"/>
    <w:rsid w:val="006765D5"/>
    <w:rsid w:val="00676E8E"/>
    <w:rsid w:val="00676EA8"/>
    <w:rsid w:val="00676FB9"/>
    <w:rsid w:val="00677CFF"/>
    <w:rsid w:val="00680651"/>
    <w:rsid w:val="006842B0"/>
    <w:rsid w:val="006853C4"/>
    <w:rsid w:val="00691D9B"/>
    <w:rsid w:val="00693D0A"/>
    <w:rsid w:val="00694325"/>
    <w:rsid w:val="00695514"/>
    <w:rsid w:val="006A011E"/>
    <w:rsid w:val="006A09CE"/>
    <w:rsid w:val="006A260B"/>
    <w:rsid w:val="006A5885"/>
    <w:rsid w:val="006A66A4"/>
    <w:rsid w:val="006A79E2"/>
    <w:rsid w:val="006A7B1D"/>
    <w:rsid w:val="006B24DB"/>
    <w:rsid w:val="006B3C2E"/>
    <w:rsid w:val="006B6CBF"/>
    <w:rsid w:val="006C17F4"/>
    <w:rsid w:val="006C1829"/>
    <w:rsid w:val="006C38A9"/>
    <w:rsid w:val="006C4384"/>
    <w:rsid w:val="006C4E43"/>
    <w:rsid w:val="006C5C4E"/>
    <w:rsid w:val="006D2FE0"/>
    <w:rsid w:val="006E06D3"/>
    <w:rsid w:val="006E2652"/>
    <w:rsid w:val="006E3068"/>
    <w:rsid w:val="006E5891"/>
    <w:rsid w:val="006F0F5B"/>
    <w:rsid w:val="006F253E"/>
    <w:rsid w:val="00701BCC"/>
    <w:rsid w:val="00703CBA"/>
    <w:rsid w:val="007068C8"/>
    <w:rsid w:val="0070751B"/>
    <w:rsid w:val="00713CB4"/>
    <w:rsid w:val="007142FB"/>
    <w:rsid w:val="0072419E"/>
    <w:rsid w:val="00724A3A"/>
    <w:rsid w:val="00726215"/>
    <w:rsid w:val="00731372"/>
    <w:rsid w:val="00733F42"/>
    <w:rsid w:val="0074516A"/>
    <w:rsid w:val="007456CF"/>
    <w:rsid w:val="0074710E"/>
    <w:rsid w:val="00751AC9"/>
    <w:rsid w:val="007575BB"/>
    <w:rsid w:val="00757C0F"/>
    <w:rsid w:val="007600CB"/>
    <w:rsid w:val="007633ED"/>
    <w:rsid w:val="00767EAF"/>
    <w:rsid w:val="007716FD"/>
    <w:rsid w:val="00771F28"/>
    <w:rsid w:val="0078381C"/>
    <w:rsid w:val="00783E3D"/>
    <w:rsid w:val="00786594"/>
    <w:rsid w:val="00787946"/>
    <w:rsid w:val="00790648"/>
    <w:rsid w:val="007910B2"/>
    <w:rsid w:val="0079271A"/>
    <w:rsid w:val="0079316E"/>
    <w:rsid w:val="00793260"/>
    <w:rsid w:val="00796185"/>
    <w:rsid w:val="007979E5"/>
    <w:rsid w:val="007A19DD"/>
    <w:rsid w:val="007A1C4E"/>
    <w:rsid w:val="007A2F5E"/>
    <w:rsid w:val="007A3E09"/>
    <w:rsid w:val="007B4DB8"/>
    <w:rsid w:val="007C0F3F"/>
    <w:rsid w:val="007C1A10"/>
    <w:rsid w:val="007C24AD"/>
    <w:rsid w:val="007C28D4"/>
    <w:rsid w:val="007C55A0"/>
    <w:rsid w:val="007C5854"/>
    <w:rsid w:val="007D3F59"/>
    <w:rsid w:val="007D40EE"/>
    <w:rsid w:val="007E0321"/>
    <w:rsid w:val="007E0C7B"/>
    <w:rsid w:val="007E59C2"/>
    <w:rsid w:val="007F2BF8"/>
    <w:rsid w:val="00810C60"/>
    <w:rsid w:val="00812FA0"/>
    <w:rsid w:val="00813847"/>
    <w:rsid w:val="008165E9"/>
    <w:rsid w:val="00817303"/>
    <w:rsid w:val="00817F93"/>
    <w:rsid w:val="00821E18"/>
    <w:rsid w:val="008221F8"/>
    <w:rsid w:val="00825AD9"/>
    <w:rsid w:val="00827F17"/>
    <w:rsid w:val="00835719"/>
    <w:rsid w:val="00837C7D"/>
    <w:rsid w:val="00841EDE"/>
    <w:rsid w:val="00845FC9"/>
    <w:rsid w:val="00850501"/>
    <w:rsid w:val="00850A6E"/>
    <w:rsid w:val="00851BAB"/>
    <w:rsid w:val="00855DA5"/>
    <w:rsid w:val="00865110"/>
    <w:rsid w:val="00875316"/>
    <w:rsid w:val="00883F09"/>
    <w:rsid w:val="008854D1"/>
    <w:rsid w:val="0088583E"/>
    <w:rsid w:val="00886661"/>
    <w:rsid w:val="00891532"/>
    <w:rsid w:val="0089153E"/>
    <w:rsid w:val="00891E23"/>
    <w:rsid w:val="00897FF6"/>
    <w:rsid w:val="008A53A3"/>
    <w:rsid w:val="008A627E"/>
    <w:rsid w:val="008A6A90"/>
    <w:rsid w:val="008A7439"/>
    <w:rsid w:val="008A7822"/>
    <w:rsid w:val="008B1269"/>
    <w:rsid w:val="008B5FFA"/>
    <w:rsid w:val="008C1CF1"/>
    <w:rsid w:val="008C2B5D"/>
    <w:rsid w:val="008C60D4"/>
    <w:rsid w:val="008D0733"/>
    <w:rsid w:val="008E6921"/>
    <w:rsid w:val="008F5938"/>
    <w:rsid w:val="008F5E4C"/>
    <w:rsid w:val="008F7B1C"/>
    <w:rsid w:val="0090057D"/>
    <w:rsid w:val="00900B53"/>
    <w:rsid w:val="00902C68"/>
    <w:rsid w:val="00905DCF"/>
    <w:rsid w:val="00906F45"/>
    <w:rsid w:val="00911C1C"/>
    <w:rsid w:val="0091278B"/>
    <w:rsid w:val="0091382E"/>
    <w:rsid w:val="009153CE"/>
    <w:rsid w:val="00917112"/>
    <w:rsid w:val="00922D94"/>
    <w:rsid w:val="009242F6"/>
    <w:rsid w:val="00931B56"/>
    <w:rsid w:val="00933661"/>
    <w:rsid w:val="00935551"/>
    <w:rsid w:val="0094004F"/>
    <w:rsid w:val="00946C1F"/>
    <w:rsid w:val="00950255"/>
    <w:rsid w:val="00952782"/>
    <w:rsid w:val="0095614C"/>
    <w:rsid w:val="00957543"/>
    <w:rsid w:val="00957BF5"/>
    <w:rsid w:val="00961187"/>
    <w:rsid w:val="00961CA9"/>
    <w:rsid w:val="00961D99"/>
    <w:rsid w:val="00962051"/>
    <w:rsid w:val="0096552D"/>
    <w:rsid w:val="00966A7E"/>
    <w:rsid w:val="009723E3"/>
    <w:rsid w:val="00977341"/>
    <w:rsid w:val="009776A8"/>
    <w:rsid w:val="00984993"/>
    <w:rsid w:val="009861A1"/>
    <w:rsid w:val="009911C0"/>
    <w:rsid w:val="00997442"/>
    <w:rsid w:val="009A324B"/>
    <w:rsid w:val="009A4969"/>
    <w:rsid w:val="009B2041"/>
    <w:rsid w:val="009B5C7A"/>
    <w:rsid w:val="009C2D2D"/>
    <w:rsid w:val="009C67E7"/>
    <w:rsid w:val="009D145A"/>
    <w:rsid w:val="009E3913"/>
    <w:rsid w:val="009F24ED"/>
    <w:rsid w:val="009F7522"/>
    <w:rsid w:val="00A0083D"/>
    <w:rsid w:val="00A07A25"/>
    <w:rsid w:val="00A11667"/>
    <w:rsid w:val="00A11753"/>
    <w:rsid w:val="00A12573"/>
    <w:rsid w:val="00A131FB"/>
    <w:rsid w:val="00A150C9"/>
    <w:rsid w:val="00A15C4C"/>
    <w:rsid w:val="00A1749C"/>
    <w:rsid w:val="00A20CD0"/>
    <w:rsid w:val="00A21DBE"/>
    <w:rsid w:val="00A22377"/>
    <w:rsid w:val="00A24662"/>
    <w:rsid w:val="00A2715A"/>
    <w:rsid w:val="00A3684D"/>
    <w:rsid w:val="00A40C5C"/>
    <w:rsid w:val="00A43FF0"/>
    <w:rsid w:val="00A45B2C"/>
    <w:rsid w:val="00A4608F"/>
    <w:rsid w:val="00A464BB"/>
    <w:rsid w:val="00A46BCC"/>
    <w:rsid w:val="00A476BE"/>
    <w:rsid w:val="00A50011"/>
    <w:rsid w:val="00A52468"/>
    <w:rsid w:val="00A5542B"/>
    <w:rsid w:val="00A555A2"/>
    <w:rsid w:val="00A67E0D"/>
    <w:rsid w:val="00A7062C"/>
    <w:rsid w:val="00A720DA"/>
    <w:rsid w:val="00A73157"/>
    <w:rsid w:val="00A8396B"/>
    <w:rsid w:val="00A84476"/>
    <w:rsid w:val="00A845B4"/>
    <w:rsid w:val="00A90F6E"/>
    <w:rsid w:val="00A94542"/>
    <w:rsid w:val="00A9559B"/>
    <w:rsid w:val="00AA0DB6"/>
    <w:rsid w:val="00AA2E69"/>
    <w:rsid w:val="00AA626B"/>
    <w:rsid w:val="00AA6ECE"/>
    <w:rsid w:val="00AB0282"/>
    <w:rsid w:val="00AB2094"/>
    <w:rsid w:val="00AB4A67"/>
    <w:rsid w:val="00AB53B0"/>
    <w:rsid w:val="00AC5482"/>
    <w:rsid w:val="00AC7672"/>
    <w:rsid w:val="00AD04AE"/>
    <w:rsid w:val="00AD181E"/>
    <w:rsid w:val="00AD26A0"/>
    <w:rsid w:val="00AD4FB6"/>
    <w:rsid w:val="00AD7D7F"/>
    <w:rsid w:val="00AE40A0"/>
    <w:rsid w:val="00AE532F"/>
    <w:rsid w:val="00AF00CA"/>
    <w:rsid w:val="00AF3092"/>
    <w:rsid w:val="00B004CF"/>
    <w:rsid w:val="00B0079A"/>
    <w:rsid w:val="00B00F34"/>
    <w:rsid w:val="00B013F8"/>
    <w:rsid w:val="00B04D81"/>
    <w:rsid w:val="00B050E5"/>
    <w:rsid w:val="00B05C7D"/>
    <w:rsid w:val="00B10081"/>
    <w:rsid w:val="00B114B0"/>
    <w:rsid w:val="00B12C9A"/>
    <w:rsid w:val="00B14094"/>
    <w:rsid w:val="00B155BB"/>
    <w:rsid w:val="00B15AF3"/>
    <w:rsid w:val="00B17444"/>
    <w:rsid w:val="00B17EE0"/>
    <w:rsid w:val="00B23338"/>
    <w:rsid w:val="00B274AA"/>
    <w:rsid w:val="00B32427"/>
    <w:rsid w:val="00B33642"/>
    <w:rsid w:val="00B355C7"/>
    <w:rsid w:val="00B364D2"/>
    <w:rsid w:val="00B365DA"/>
    <w:rsid w:val="00B45FD3"/>
    <w:rsid w:val="00B518C7"/>
    <w:rsid w:val="00B51FE8"/>
    <w:rsid w:val="00B52784"/>
    <w:rsid w:val="00B601D0"/>
    <w:rsid w:val="00B61809"/>
    <w:rsid w:val="00B64151"/>
    <w:rsid w:val="00B64D9A"/>
    <w:rsid w:val="00B6503A"/>
    <w:rsid w:val="00B66F8A"/>
    <w:rsid w:val="00B67445"/>
    <w:rsid w:val="00B725D5"/>
    <w:rsid w:val="00B7339A"/>
    <w:rsid w:val="00B743DA"/>
    <w:rsid w:val="00B748BE"/>
    <w:rsid w:val="00B7658C"/>
    <w:rsid w:val="00B76CD8"/>
    <w:rsid w:val="00B776D1"/>
    <w:rsid w:val="00B80650"/>
    <w:rsid w:val="00B81748"/>
    <w:rsid w:val="00B82695"/>
    <w:rsid w:val="00B83484"/>
    <w:rsid w:val="00B83B10"/>
    <w:rsid w:val="00B848AC"/>
    <w:rsid w:val="00B86A9E"/>
    <w:rsid w:val="00B86FEB"/>
    <w:rsid w:val="00B90761"/>
    <w:rsid w:val="00B93C8C"/>
    <w:rsid w:val="00BA340C"/>
    <w:rsid w:val="00BA3606"/>
    <w:rsid w:val="00BA6746"/>
    <w:rsid w:val="00BA67DE"/>
    <w:rsid w:val="00BA74CD"/>
    <w:rsid w:val="00BB13D9"/>
    <w:rsid w:val="00BB673F"/>
    <w:rsid w:val="00BB7FFC"/>
    <w:rsid w:val="00BC1D3F"/>
    <w:rsid w:val="00BC230F"/>
    <w:rsid w:val="00BC5F64"/>
    <w:rsid w:val="00BC7C03"/>
    <w:rsid w:val="00BD190E"/>
    <w:rsid w:val="00BD2D75"/>
    <w:rsid w:val="00BE5C08"/>
    <w:rsid w:val="00BE5E8D"/>
    <w:rsid w:val="00BE65A8"/>
    <w:rsid w:val="00C0177F"/>
    <w:rsid w:val="00C0439C"/>
    <w:rsid w:val="00C1078F"/>
    <w:rsid w:val="00C11580"/>
    <w:rsid w:val="00C12248"/>
    <w:rsid w:val="00C14840"/>
    <w:rsid w:val="00C169F8"/>
    <w:rsid w:val="00C16EC6"/>
    <w:rsid w:val="00C17CEB"/>
    <w:rsid w:val="00C20120"/>
    <w:rsid w:val="00C275C6"/>
    <w:rsid w:val="00C27C46"/>
    <w:rsid w:val="00C3050C"/>
    <w:rsid w:val="00C35B7E"/>
    <w:rsid w:val="00C35C0F"/>
    <w:rsid w:val="00C37E45"/>
    <w:rsid w:val="00C425BB"/>
    <w:rsid w:val="00C455C9"/>
    <w:rsid w:val="00C45E96"/>
    <w:rsid w:val="00C462C8"/>
    <w:rsid w:val="00C46D47"/>
    <w:rsid w:val="00C73381"/>
    <w:rsid w:val="00C76540"/>
    <w:rsid w:val="00C92DEE"/>
    <w:rsid w:val="00C9412C"/>
    <w:rsid w:val="00C95CB0"/>
    <w:rsid w:val="00C96C4F"/>
    <w:rsid w:val="00CA0C0B"/>
    <w:rsid w:val="00CA2BFE"/>
    <w:rsid w:val="00CA2DB8"/>
    <w:rsid w:val="00CA575F"/>
    <w:rsid w:val="00CA6ADE"/>
    <w:rsid w:val="00CA7EB6"/>
    <w:rsid w:val="00CB040B"/>
    <w:rsid w:val="00CB72A7"/>
    <w:rsid w:val="00CC272F"/>
    <w:rsid w:val="00CE2A9A"/>
    <w:rsid w:val="00CF28A2"/>
    <w:rsid w:val="00D026D4"/>
    <w:rsid w:val="00D02E90"/>
    <w:rsid w:val="00D04732"/>
    <w:rsid w:val="00D071BA"/>
    <w:rsid w:val="00D074A1"/>
    <w:rsid w:val="00D10857"/>
    <w:rsid w:val="00D10A73"/>
    <w:rsid w:val="00D10B1C"/>
    <w:rsid w:val="00D11B2D"/>
    <w:rsid w:val="00D1224C"/>
    <w:rsid w:val="00D1253D"/>
    <w:rsid w:val="00D14E13"/>
    <w:rsid w:val="00D15F55"/>
    <w:rsid w:val="00D170F5"/>
    <w:rsid w:val="00D220B0"/>
    <w:rsid w:val="00D224D1"/>
    <w:rsid w:val="00D34347"/>
    <w:rsid w:val="00D42E68"/>
    <w:rsid w:val="00D46D32"/>
    <w:rsid w:val="00D47388"/>
    <w:rsid w:val="00D47461"/>
    <w:rsid w:val="00D504F7"/>
    <w:rsid w:val="00D556BA"/>
    <w:rsid w:val="00D61549"/>
    <w:rsid w:val="00D62C25"/>
    <w:rsid w:val="00D66C84"/>
    <w:rsid w:val="00D677CF"/>
    <w:rsid w:val="00D7502D"/>
    <w:rsid w:val="00D87FFD"/>
    <w:rsid w:val="00D94D22"/>
    <w:rsid w:val="00D953FB"/>
    <w:rsid w:val="00D96ED3"/>
    <w:rsid w:val="00DA17FB"/>
    <w:rsid w:val="00DA6A27"/>
    <w:rsid w:val="00DA7BBA"/>
    <w:rsid w:val="00DA7D8F"/>
    <w:rsid w:val="00DB3266"/>
    <w:rsid w:val="00DB39B7"/>
    <w:rsid w:val="00DB3A0A"/>
    <w:rsid w:val="00DB613D"/>
    <w:rsid w:val="00DC1259"/>
    <w:rsid w:val="00DC31B4"/>
    <w:rsid w:val="00DC4D8D"/>
    <w:rsid w:val="00DC511C"/>
    <w:rsid w:val="00DC56D4"/>
    <w:rsid w:val="00DC5CE5"/>
    <w:rsid w:val="00DD29FF"/>
    <w:rsid w:val="00DD3A87"/>
    <w:rsid w:val="00DD4382"/>
    <w:rsid w:val="00DD5529"/>
    <w:rsid w:val="00DD6A44"/>
    <w:rsid w:val="00DD7048"/>
    <w:rsid w:val="00DD79B6"/>
    <w:rsid w:val="00DE057C"/>
    <w:rsid w:val="00DE3F14"/>
    <w:rsid w:val="00DE4336"/>
    <w:rsid w:val="00DE4550"/>
    <w:rsid w:val="00DE5345"/>
    <w:rsid w:val="00DE558F"/>
    <w:rsid w:val="00DE588F"/>
    <w:rsid w:val="00DF0128"/>
    <w:rsid w:val="00DF59ED"/>
    <w:rsid w:val="00DF5D21"/>
    <w:rsid w:val="00E01C03"/>
    <w:rsid w:val="00E02C34"/>
    <w:rsid w:val="00E039C3"/>
    <w:rsid w:val="00E03CB6"/>
    <w:rsid w:val="00E10CA8"/>
    <w:rsid w:val="00E17A9C"/>
    <w:rsid w:val="00E24C0C"/>
    <w:rsid w:val="00E25AAC"/>
    <w:rsid w:val="00E2626A"/>
    <w:rsid w:val="00E30C30"/>
    <w:rsid w:val="00E33B57"/>
    <w:rsid w:val="00E355AA"/>
    <w:rsid w:val="00E36B44"/>
    <w:rsid w:val="00E371FB"/>
    <w:rsid w:val="00E37D6E"/>
    <w:rsid w:val="00E40AD0"/>
    <w:rsid w:val="00E44E02"/>
    <w:rsid w:val="00E46E03"/>
    <w:rsid w:val="00E47DDF"/>
    <w:rsid w:val="00E50C56"/>
    <w:rsid w:val="00E533BD"/>
    <w:rsid w:val="00E56987"/>
    <w:rsid w:val="00E603BC"/>
    <w:rsid w:val="00E60783"/>
    <w:rsid w:val="00E61DB4"/>
    <w:rsid w:val="00E62B59"/>
    <w:rsid w:val="00E6340C"/>
    <w:rsid w:val="00E663D5"/>
    <w:rsid w:val="00E715FA"/>
    <w:rsid w:val="00E75566"/>
    <w:rsid w:val="00E8442E"/>
    <w:rsid w:val="00E84915"/>
    <w:rsid w:val="00E93524"/>
    <w:rsid w:val="00E94779"/>
    <w:rsid w:val="00E95F68"/>
    <w:rsid w:val="00E96F2E"/>
    <w:rsid w:val="00EA269B"/>
    <w:rsid w:val="00EA3236"/>
    <w:rsid w:val="00EA391E"/>
    <w:rsid w:val="00EA56E4"/>
    <w:rsid w:val="00EA6BE6"/>
    <w:rsid w:val="00EB4A7E"/>
    <w:rsid w:val="00EB6046"/>
    <w:rsid w:val="00EC10C6"/>
    <w:rsid w:val="00EC1140"/>
    <w:rsid w:val="00EC5180"/>
    <w:rsid w:val="00EC74E2"/>
    <w:rsid w:val="00ED1B33"/>
    <w:rsid w:val="00ED375B"/>
    <w:rsid w:val="00EE24D8"/>
    <w:rsid w:val="00EE27E7"/>
    <w:rsid w:val="00EE33B4"/>
    <w:rsid w:val="00EF204A"/>
    <w:rsid w:val="00EF2826"/>
    <w:rsid w:val="00EF583C"/>
    <w:rsid w:val="00F0092A"/>
    <w:rsid w:val="00F0650E"/>
    <w:rsid w:val="00F117A5"/>
    <w:rsid w:val="00F14026"/>
    <w:rsid w:val="00F1751F"/>
    <w:rsid w:val="00F21E07"/>
    <w:rsid w:val="00F25099"/>
    <w:rsid w:val="00F25CD7"/>
    <w:rsid w:val="00F26DC1"/>
    <w:rsid w:val="00F326C6"/>
    <w:rsid w:val="00F3373A"/>
    <w:rsid w:val="00F33BA5"/>
    <w:rsid w:val="00F347FE"/>
    <w:rsid w:val="00F37C9C"/>
    <w:rsid w:val="00F40DC4"/>
    <w:rsid w:val="00F43F2F"/>
    <w:rsid w:val="00F4655D"/>
    <w:rsid w:val="00F4741E"/>
    <w:rsid w:val="00F50697"/>
    <w:rsid w:val="00F516BD"/>
    <w:rsid w:val="00F525F8"/>
    <w:rsid w:val="00F63894"/>
    <w:rsid w:val="00F7133D"/>
    <w:rsid w:val="00F72953"/>
    <w:rsid w:val="00F73E4C"/>
    <w:rsid w:val="00F7400B"/>
    <w:rsid w:val="00F814BE"/>
    <w:rsid w:val="00F837DB"/>
    <w:rsid w:val="00F92346"/>
    <w:rsid w:val="00F931A4"/>
    <w:rsid w:val="00F93847"/>
    <w:rsid w:val="00F9467E"/>
    <w:rsid w:val="00F976DB"/>
    <w:rsid w:val="00FA0614"/>
    <w:rsid w:val="00FA0CCE"/>
    <w:rsid w:val="00FA25FB"/>
    <w:rsid w:val="00FA42CC"/>
    <w:rsid w:val="00FA4F89"/>
    <w:rsid w:val="00FA6896"/>
    <w:rsid w:val="00FB43AF"/>
    <w:rsid w:val="00FB74BE"/>
    <w:rsid w:val="00FB7A20"/>
    <w:rsid w:val="00FC3A82"/>
    <w:rsid w:val="00FD13DA"/>
    <w:rsid w:val="00FD26E4"/>
    <w:rsid w:val="00FD34EA"/>
    <w:rsid w:val="00FD36AA"/>
    <w:rsid w:val="00FD38ED"/>
    <w:rsid w:val="00FD69A5"/>
    <w:rsid w:val="00FD6A90"/>
    <w:rsid w:val="00FE1952"/>
    <w:rsid w:val="00FE3B47"/>
    <w:rsid w:val="00FE6680"/>
    <w:rsid w:val="00FE6F0A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47EFA"/>
  <w15:chartTrackingRefBased/>
  <w15:docId w15:val="{22A867B7-EA9D-4B81-B32A-3C96CA9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1D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1DB4"/>
    <w:rPr>
      <w:vertAlign w:val="superscript"/>
    </w:rPr>
  </w:style>
  <w:style w:type="table" w:styleId="Tabela-Siatka">
    <w:name w:val="Table Grid"/>
    <w:basedOn w:val="Standardowy"/>
    <w:uiPriority w:val="39"/>
    <w:rsid w:val="002D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0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57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ceny/mieszk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nekpierwot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Prajsnar</dc:creator>
  <cp:keywords/>
  <dc:description/>
  <cp:lastModifiedBy>Agnieszka Studzińska</cp:lastModifiedBy>
  <cp:revision>3</cp:revision>
  <cp:lastPrinted>2022-08-09T11:51:00Z</cp:lastPrinted>
  <dcterms:created xsi:type="dcterms:W3CDTF">2024-10-14T09:04:00Z</dcterms:created>
  <dcterms:modified xsi:type="dcterms:W3CDTF">2024-10-14T09:06:00Z</dcterms:modified>
</cp:coreProperties>
</file>